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line="475" w:lineRule="auto"/>
      </w:pPr>
      <w:bookmarkStart w:name="1：進行次第" w:id="1"/>
      <w:bookmarkEnd w:id="1"/>
      <w:r>
        <w:rPr/>
      </w:r>
      <w:r>
        <w:rPr>
          <w:spacing w:val="-2"/>
        </w:rPr>
        <w:t>旧優生保護法問題検証会議</w:t>
      </w:r>
      <w:r>
        <w:rPr/>
        <w:t>第２回検証会議</w:t>
      </w:r>
      <w:r>
        <w:rPr>
          <w:spacing w:val="53"/>
          <w:w w:val="150"/>
        </w:rPr>
        <w:t> </w:t>
      </w:r>
      <w:r>
        <w:rPr>
          <w:spacing w:val="-3"/>
        </w:rPr>
        <w:t>進行次第</w:t>
      </w:r>
    </w:p>
    <w:p>
      <w:pPr>
        <w:tabs>
          <w:tab w:pos="481" w:val="left" w:leader="none"/>
        </w:tabs>
        <w:spacing w:before="206"/>
        <w:ind w:left="1" w:right="0" w:firstLine="0"/>
        <w:jc w:val="left"/>
        <w:rPr>
          <w:sz w:val="24"/>
        </w:rPr>
      </w:pPr>
      <w:r>
        <w:rPr>
          <w:spacing w:val="-10"/>
          <w:sz w:val="24"/>
        </w:rPr>
        <w:t>１</w:t>
      </w:r>
      <w:r>
        <w:rPr>
          <w:sz w:val="24"/>
        </w:rPr>
        <w:tab/>
      </w:r>
      <w:r>
        <w:rPr>
          <w:spacing w:val="-4"/>
          <w:sz w:val="24"/>
        </w:rPr>
        <w:t>日時等</w:t>
      </w:r>
    </w:p>
    <w:p>
      <w:pPr>
        <w:pStyle w:val="BodyText"/>
        <w:spacing w:before="95"/>
        <w:rPr>
          <w:sz w:val="24"/>
        </w:rPr>
      </w:pPr>
    </w:p>
    <w:p>
      <w:pPr>
        <w:tabs>
          <w:tab w:pos="1201" w:val="left" w:leader="none"/>
        </w:tabs>
        <w:spacing w:line="554" w:lineRule="auto" w:before="1"/>
        <w:ind w:left="481" w:right="3488" w:firstLine="0"/>
        <w:jc w:val="left"/>
        <w:rPr>
          <w:sz w:val="24"/>
        </w:rPr>
      </w:pPr>
      <w:r>
        <w:rPr>
          <w:spacing w:val="-6"/>
          <w:sz w:val="24"/>
        </w:rPr>
        <w:t>日時</w:t>
      </w:r>
      <w:r>
        <w:rPr>
          <w:sz w:val="24"/>
        </w:rPr>
        <w:tab/>
      </w:r>
      <w:r>
        <w:rPr>
          <w:spacing w:val="-2"/>
          <w:sz w:val="24"/>
        </w:rPr>
        <w:t>２０２５年１０月２７日（月）午前１０時</w:t>
      </w:r>
      <w:r>
        <w:rPr>
          <w:spacing w:val="-2"/>
          <w:sz w:val="24"/>
        </w:rPr>
        <w:t>～</w:t>
      </w:r>
      <w:r>
        <w:rPr>
          <w:spacing w:val="-6"/>
          <w:sz w:val="24"/>
        </w:rPr>
        <w:t>場所</w:t>
      </w:r>
      <w:r>
        <w:rPr>
          <w:sz w:val="24"/>
        </w:rPr>
        <w:tab/>
      </w:r>
      <w:r>
        <w:rPr>
          <w:spacing w:val="-2"/>
          <w:sz w:val="24"/>
        </w:rPr>
        <w:t>弁護士会館内会議室</w:t>
      </w:r>
    </w:p>
    <w:p>
      <w:pPr>
        <w:pStyle w:val="BodyText"/>
        <w:spacing w:before="46"/>
        <w:rPr>
          <w:sz w:val="24"/>
        </w:rPr>
      </w:pPr>
    </w:p>
    <w:p>
      <w:pPr>
        <w:tabs>
          <w:tab w:pos="481" w:val="left" w:leader="none"/>
        </w:tabs>
        <w:spacing w:before="0"/>
        <w:ind w:left="1" w:right="0" w:firstLine="0"/>
        <w:jc w:val="left"/>
        <w:rPr>
          <w:sz w:val="24"/>
        </w:rPr>
      </w:pPr>
      <w:r>
        <w:rPr>
          <w:spacing w:val="-10"/>
          <w:sz w:val="24"/>
        </w:rPr>
        <w:t>２</w:t>
      </w:r>
      <w:r>
        <w:rPr>
          <w:sz w:val="24"/>
        </w:rPr>
        <w:tab/>
      </w:r>
      <w:r>
        <w:rPr>
          <w:spacing w:val="-3"/>
          <w:sz w:val="24"/>
        </w:rPr>
        <w:t>進行次第</w:t>
      </w:r>
    </w:p>
    <w:p>
      <w:pPr>
        <w:pStyle w:val="BodyText"/>
        <w:spacing w:before="96"/>
        <w:rPr>
          <w:sz w:val="24"/>
        </w:rPr>
      </w:pPr>
    </w:p>
    <w:p>
      <w:pPr>
        <w:pStyle w:val="ListParagraph"/>
        <w:numPr>
          <w:ilvl w:val="0"/>
          <w:numId w:val="1"/>
        </w:numPr>
        <w:tabs>
          <w:tab w:pos="721" w:val="left" w:leader="none"/>
        </w:tabs>
        <w:spacing w:line="240" w:lineRule="auto" w:before="0" w:after="0"/>
        <w:ind w:left="721" w:right="0" w:hanging="480"/>
        <w:jc w:val="left"/>
        <w:rPr>
          <w:sz w:val="24"/>
        </w:rPr>
      </w:pPr>
      <w:r>
        <w:rPr>
          <w:spacing w:val="-2"/>
          <w:sz w:val="24"/>
        </w:rPr>
        <w:t>北三郎委員スピーチ</w:t>
      </w:r>
    </w:p>
    <w:p>
      <w:pPr>
        <w:pStyle w:val="BodyText"/>
        <w:spacing w:before="96"/>
        <w:rPr>
          <w:sz w:val="24"/>
        </w:rPr>
      </w:pPr>
    </w:p>
    <w:p>
      <w:pPr>
        <w:pStyle w:val="ListParagraph"/>
        <w:numPr>
          <w:ilvl w:val="0"/>
          <w:numId w:val="1"/>
        </w:numPr>
        <w:tabs>
          <w:tab w:pos="587" w:val="left" w:leader="none"/>
        </w:tabs>
        <w:spacing w:line="276" w:lineRule="auto" w:before="0" w:after="0"/>
        <w:ind w:left="587" w:right="982" w:hanging="360"/>
        <w:jc w:val="left"/>
        <w:rPr>
          <w:sz w:val="24"/>
        </w:rPr>
      </w:pPr>
      <w:r>
        <w:rPr>
          <w:sz w:val="24"/>
        </w:rPr>
        <w:t> 「旧優生保護法に基づく優生手術等を受けた者に対する一時金の支給等</w:t>
      </w:r>
      <w:r>
        <w:rPr>
          <w:spacing w:val="-2"/>
          <w:sz w:val="24"/>
        </w:rPr>
        <w:t>に関する法律第２１条に基づく調査報告書」に関する勉強会</w:t>
      </w:r>
    </w:p>
    <w:p>
      <w:pPr>
        <w:pStyle w:val="BodyText"/>
        <w:spacing w:before="50"/>
        <w:rPr>
          <w:sz w:val="24"/>
        </w:rPr>
      </w:pPr>
    </w:p>
    <w:p>
      <w:pPr>
        <w:pStyle w:val="ListParagraph"/>
        <w:numPr>
          <w:ilvl w:val="0"/>
          <w:numId w:val="1"/>
        </w:numPr>
        <w:tabs>
          <w:tab w:pos="721" w:val="left" w:leader="none"/>
        </w:tabs>
        <w:spacing w:line="240" w:lineRule="auto" w:before="1" w:after="0"/>
        <w:ind w:left="721" w:right="0" w:hanging="480"/>
        <w:jc w:val="left"/>
        <w:rPr>
          <w:sz w:val="24"/>
        </w:rPr>
      </w:pPr>
      <w:r>
        <w:rPr>
          <w:spacing w:val="-2"/>
          <w:sz w:val="24"/>
        </w:rPr>
        <w:t>各分科会委員の選任</w:t>
      </w:r>
    </w:p>
    <w:p>
      <w:pPr>
        <w:pStyle w:val="BodyText"/>
        <w:spacing w:before="95"/>
        <w:rPr>
          <w:sz w:val="24"/>
        </w:rPr>
      </w:pPr>
    </w:p>
    <w:p>
      <w:pPr>
        <w:pStyle w:val="ListParagraph"/>
        <w:numPr>
          <w:ilvl w:val="0"/>
          <w:numId w:val="1"/>
        </w:numPr>
        <w:tabs>
          <w:tab w:pos="721" w:val="left" w:leader="none"/>
        </w:tabs>
        <w:spacing w:line="240" w:lineRule="auto" w:before="1" w:after="0"/>
        <w:ind w:left="721" w:right="0" w:hanging="480"/>
        <w:jc w:val="left"/>
        <w:rPr>
          <w:sz w:val="24"/>
        </w:rPr>
      </w:pPr>
      <w:r>
        <w:rPr>
          <w:spacing w:val="-1"/>
          <w:sz w:val="24"/>
        </w:rPr>
        <w:t>各分科会の検証等事項についての議論</w:t>
      </w:r>
    </w:p>
    <w:p>
      <w:pPr>
        <w:pStyle w:val="ListParagraph"/>
        <w:spacing w:after="0" w:line="240" w:lineRule="auto"/>
        <w:jc w:val="left"/>
        <w:rPr>
          <w:sz w:val="24"/>
        </w:rPr>
        <w:sectPr>
          <w:type w:val="continuous"/>
          <w:pgSz w:w="11900" w:h="16820"/>
          <w:pgMar w:top="1940" w:bottom="280" w:left="1700" w:right="708"/>
        </w:sectPr>
      </w:pPr>
    </w:p>
    <w:p>
      <w:pPr>
        <w:spacing w:before="20"/>
        <w:ind w:left="0" w:right="86" w:firstLine="0"/>
        <w:jc w:val="right"/>
        <w:rPr>
          <w:rFonts w:ascii="ＭＳ ゴシック" w:eastAsia="ＭＳ ゴシック"/>
          <w:sz w:val="36"/>
        </w:rPr>
      </w:pPr>
      <w:r>
        <w:rPr>
          <w:rFonts w:ascii="ＭＳ ゴシック" w:eastAsia="ＭＳ ゴシック"/>
          <w:sz w:val="36"/>
        </w:rPr>
        <mc:AlternateContent>
          <mc:Choice Requires="wps">
            <w:drawing>
              <wp:anchor distT="0" distB="0" distL="0" distR="0" allowOverlap="1" layoutInCell="1" locked="0" behindDoc="0" simplePos="0" relativeHeight="15728640">
                <wp:simplePos x="0" y="0"/>
                <wp:positionH relativeFrom="page">
                  <wp:posOffset>6466598</wp:posOffset>
                </wp:positionH>
                <wp:positionV relativeFrom="page">
                  <wp:posOffset>160464</wp:posOffset>
                </wp:positionV>
                <wp:extent cx="899160" cy="58674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899160" cy="586740"/>
                          <a:chExt cx="899160" cy="586740"/>
                        </a:xfrm>
                      </wpg:grpSpPr>
                      <wps:wsp>
                        <wps:cNvPr id="2" name="Graphic 2"/>
                        <wps:cNvSpPr/>
                        <wps:spPr>
                          <a:xfrm>
                            <a:off x="0" y="0"/>
                            <a:ext cx="899160" cy="587375"/>
                          </a:xfrm>
                          <a:custGeom>
                            <a:avLst/>
                            <a:gdLst/>
                            <a:ahLst/>
                            <a:cxnLst/>
                            <a:rect l="l" t="t" r="r" b="b"/>
                            <a:pathLst>
                              <a:path w="899160" h="587375">
                                <a:moveTo>
                                  <a:pt x="899134" y="0"/>
                                </a:moveTo>
                                <a:lnTo>
                                  <a:pt x="874763" y="0"/>
                                </a:lnTo>
                                <a:lnTo>
                                  <a:pt x="874763" y="24384"/>
                                </a:lnTo>
                                <a:lnTo>
                                  <a:pt x="874763" y="187452"/>
                                </a:lnTo>
                                <a:lnTo>
                                  <a:pt x="874763" y="211836"/>
                                </a:lnTo>
                                <a:lnTo>
                                  <a:pt x="874763" y="562368"/>
                                </a:lnTo>
                                <a:lnTo>
                                  <a:pt x="24371" y="562368"/>
                                </a:lnTo>
                                <a:lnTo>
                                  <a:pt x="24371" y="211836"/>
                                </a:lnTo>
                                <a:lnTo>
                                  <a:pt x="874763" y="211836"/>
                                </a:lnTo>
                                <a:lnTo>
                                  <a:pt x="874763" y="187452"/>
                                </a:lnTo>
                                <a:lnTo>
                                  <a:pt x="24371" y="187452"/>
                                </a:lnTo>
                                <a:lnTo>
                                  <a:pt x="24371" y="24384"/>
                                </a:lnTo>
                                <a:lnTo>
                                  <a:pt x="874763" y="24384"/>
                                </a:lnTo>
                                <a:lnTo>
                                  <a:pt x="874763" y="0"/>
                                </a:lnTo>
                                <a:lnTo>
                                  <a:pt x="24371" y="0"/>
                                </a:lnTo>
                                <a:lnTo>
                                  <a:pt x="0" y="0"/>
                                </a:lnTo>
                                <a:lnTo>
                                  <a:pt x="0" y="586752"/>
                                </a:lnTo>
                                <a:lnTo>
                                  <a:pt x="24371" y="586752"/>
                                </a:lnTo>
                                <a:lnTo>
                                  <a:pt x="874763" y="586752"/>
                                </a:lnTo>
                                <a:lnTo>
                                  <a:pt x="899134" y="586752"/>
                                </a:lnTo>
                                <a:lnTo>
                                  <a:pt x="899134" y="562368"/>
                                </a:lnTo>
                                <a:lnTo>
                                  <a:pt x="899134" y="211836"/>
                                </a:lnTo>
                                <a:lnTo>
                                  <a:pt x="899134" y="187452"/>
                                </a:lnTo>
                                <a:lnTo>
                                  <a:pt x="899134" y="24384"/>
                                </a:lnTo>
                                <a:lnTo>
                                  <a:pt x="899134" y="0"/>
                                </a:lnTo>
                                <a:close/>
                              </a:path>
                            </a:pathLst>
                          </a:custGeom>
                          <a:solidFill>
                            <a:srgbClr val="000000"/>
                          </a:solidFill>
                        </wps:spPr>
                        <wps:bodyPr wrap="square" lIns="0" tIns="0" rIns="0" bIns="0" rtlCol="0">
                          <a:prstTxWarp prst="textNoShape">
                            <a:avLst/>
                          </a:prstTxWarp>
                          <a:noAutofit/>
                        </wps:bodyPr>
                      </wps:wsp>
                      <wps:wsp>
                        <wps:cNvPr id="3" name="Textbox 3" descr="#AnnotID = 171798692"/>
                        <wps:cNvSpPr txBox="1"/>
                        <wps:spPr>
                          <a:xfrm>
                            <a:off x="0" y="0"/>
                            <a:ext cx="899160" cy="586740"/>
                          </a:xfrm>
                          <a:prstGeom prst="rect">
                            <a:avLst/>
                          </a:prstGeom>
                        </wps:spPr>
                        <wps:txbx>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wps:txbx>
                        <wps:bodyPr wrap="square" lIns="0" tIns="0" rIns="0" bIns="0" rtlCol="0">
                          <a:noAutofit/>
                        </wps:bodyPr>
                      </wps:wsp>
                    </wpg:wgp>
                  </a:graphicData>
                </a:graphic>
              </wp:anchor>
            </w:drawing>
          </mc:Choice>
          <mc:Fallback>
            <w:pict>
              <v:group style="position:absolute;margin-left:509.181pt;margin-top:12.634998pt;width:70.8pt;height:46.2pt;mso-position-horizontal-relative:page;mso-position-vertical-relative:page;z-index:15728640" id="docshapegroup1" coordorigin="10184,253" coordsize="1416,924">
                <v:shape style="position:absolute;left:10183;top:252;width:1416;height:925" id="docshape2" coordorigin="10184,253" coordsize="1416,925" path="m11600,253l11561,253,11561,291,11561,548,11561,586,11561,1138,10222,1138,10222,586,11561,586,11561,548,10222,548,10222,291,11561,291,11561,253,10222,253,10184,253,10184,1177,10222,1177,11561,1177,11600,1177,11600,1138,11600,586,11600,548,11600,291,11600,253xe" filled="true" fillcolor="#000000" stroked="false">
                  <v:path arrowok="t"/>
                  <v:fill type="solid"/>
                </v:shape>
                <v:shapetype id="_x0000_t202" o:spt="202" coordsize="21600,21600" path="m,l,21600r21600,l21600,xe">
                  <v:stroke joinstyle="miter"/>
                  <v:path gradientshapeok="t" o:connecttype="rect"/>
                </v:shapetype>
                <v:shape style="position:absolute;left:10183;top:252;width:1416;height:924" type="#_x0000_t202" id="docshape3" alt="#AnnotID = 171798692" filled="false" stroked="false">
                  <v:textbox inset="0,0,0,0">
                    <w:txbxContent>
                      <w:p>
                        <w:pPr>
                          <w:spacing w:before="8"/>
                          <w:ind w:left="398" w:right="0" w:firstLine="0"/>
                          <w:jc w:val="left"/>
                          <w:rPr>
                            <w:rFonts w:ascii="ＭＳ Ｐゴシック" w:eastAsia="ＭＳ Ｐゴシック"/>
                            <w:sz w:val="24"/>
                          </w:rPr>
                        </w:pPr>
                        <w:r>
                          <w:rPr>
                            <w:rFonts w:ascii="ＭＳ Ｐゴシック" w:eastAsia="ＭＳ Ｐゴシック"/>
                            <w:sz w:val="24"/>
                          </w:rPr>
                          <w:t>資</w:t>
                        </w:r>
                        <w:r>
                          <w:rPr>
                            <w:rFonts w:ascii="ＭＳ Ｐゴシック" w:eastAsia="ＭＳ Ｐゴシック"/>
                            <w:spacing w:val="66"/>
                            <w:w w:val="150"/>
                            <w:sz w:val="24"/>
                          </w:rPr>
                          <w:t> </w:t>
                        </w:r>
                        <w:r>
                          <w:rPr>
                            <w:rFonts w:ascii="ＭＳ Ｐゴシック" w:eastAsia="ＭＳ Ｐゴシック"/>
                            <w:spacing w:val="-10"/>
                            <w:sz w:val="24"/>
                          </w:rPr>
                          <w:t>料</w:t>
                        </w:r>
                      </w:p>
                    </w:txbxContent>
                  </v:textbox>
                  <w10:wrap type="none"/>
                </v:shape>
                <w10:wrap type="none"/>
              </v:group>
            </w:pict>
          </mc:Fallback>
        </mc:AlternateContent>
      </w:r>
      <w:bookmarkStart w:name="2：国から提示された調査及び検証等の項目" w:id="2"/>
      <w:bookmarkEnd w:id="2"/>
      <w:r>
        <w:rPr/>
      </w:r>
      <w:r>
        <w:rPr>
          <w:rFonts w:ascii="ＭＳ ゴシック" w:eastAsia="ＭＳ ゴシック"/>
          <w:spacing w:val="-10"/>
          <w:sz w:val="36"/>
        </w:rPr>
        <w:t>１</w:t>
      </w:r>
    </w:p>
    <w:p>
      <w:pPr>
        <w:pStyle w:val="BodyText"/>
        <w:rPr>
          <w:rFonts w:ascii="ＭＳ ゴシック"/>
        </w:rPr>
      </w:pPr>
    </w:p>
    <w:p>
      <w:pPr>
        <w:pStyle w:val="BodyText"/>
        <w:rPr>
          <w:rFonts w:ascii="ＭＳ ゴシック"/>
        </w:rPr>
      </w:pPr>
    </w:p>
    <w:p>
      <w:pPr>
        <w:pStyle w:val="BodyText"/>
        <w:rPr>
          <w:rFonts w:ascii="ＭＳ ゴシック"/>
        </w:rPr>
      </w:pPr>
    </w:p>
    <w:p>
      <w:pPr>
        <w:pStyle w:val="BodyText"/>
        <w:spacing w:before="194"/>
        <w:rPr>
          <w:rFonts w:ascii="ＭＳ ゴシック"/>
        </w:rPr>
      </w:pPr>
    </w:p>
    <w:p>
      <w:pPr>
        <w:pStyle w:val="BodyText"/>
        <w:ind w:left="2377"/>
      </w:pPr>
      <w:r>
        <w:rPr>
          <w:spacing w:val="-3"/>
        </w:rPr>
        <w:t>国から提示された調査及び検証等の項目</w:t>
      </w:r>
    </w:p>
    <w:p>
      <w:pPr>
        <w:pStyle w:val="BodyText"/>
        <w:spacing w:before="148"/>
      </w:pPr>
    </w:p>
    <w:p>
      <w:pPr>
        <w:pStyle w:val="BodyText"/>
        <w:ind w:left="211"/>
      </w:pPr>
      <w:r>
        <w:rPr>
          <w:spacing w:val="-1"/>
        </w:rPr>
        <w:t>① 旧優生保護法に基づく優生手術等及び人工妊娠中絶等に関する調査</w:t>
      </w:r>
    </w:p>
    <w:p>
      <w:pPr>
        <w:pStyle w:val="BodyText"/>
        <w:spacing w:before="74"/>
        <w:ind w:left="431"/>
      </w:pPr>
      <w:r>
        <w:rPr>
          <w:spacing w:val="-2"/>
        </w:rPr>
        <w:t>・旧優生保護法に基づく優生手術等の実施状況等（追加調査が必要な場合</w:t>
      </w:r>
      <w:r>
        <w:rPr>
          <w:spacing w:val="-10"/>
        </w:rPr>
        <w:t>）</w:t>
      </w:r>
    </w:p>
    <w:p>
      <w:pPr>
        <w:pStyle w:val="BodyText"/>
        <w:spacing w:before="74"/>
        <w:ind w:left="431"/>
      </w:pPr>
      <w:r>
        <w:rPr>
          <w:spacing w:val="-3"/>
        </w:rPr>
        <w:t>・旧優生保護法に基づく人工妊娠中絶等の実施状況等</w:t>
      </w:r>
    </w:p>
    <w:p>
      <w:pPr>
        <w:pStyle w:val="BodyText"/>
        <w:spacing w:before="74"/>
        <w:ind w:left="431"/>
      </w:pPr>
      <w:r>
        <w:rPr>
          <w:spacing w:val="-3"/>
        </w:rPr>
        <w:t>・その他必要な事項</w:t>
      </w:r>
    </w:p>
    <w:p>
      <w:pPr>
        <w:pStyle w:val="BodyText"/>
        <w:spacing w:line="302" w:lineRule="auto" w:before="74"/>
        <w:ind w:left="431" w:right="984" w:hanging="220"/>
      </w:pPr>
      <w:r>
        <w:rPr/>
        <w:t>② 優生手術等又は人工妊娠中絶を強いられるような事態が生じた原因についての</w:t>
      </w:r>
      <w:r>
        <w:rPr>
          <w:spacing w:val="-6"/>
        </w:rPr>
        <w:t>検証</w:t>
      </w:r>
    </w:p>
    <w:p>
      <w:pPr>
        <w:pStyle w:val="BodyText"/>
        <w:spacing w:line="285" w:lineRule="exact"/>
        <w:ind w:left="431"/>
      </w:pPr>
      <w:r>
        <w:rPr>
          <w:spacing w:val="-13"/>
        </w:rPr>
        <w:t>・昭和 </w:t>
      </w:r>
      <w:r>
        <w:rPr>
          <w:spacing w:val="-2"/>
        </w:rPr>
        <w:t>23</w:t>
      </w:r>
      <w:r>
        <w:rPr>
          <w:spacing w:val="-10"/>
        </w:rPr>
        <w:t> 年に優生保護法が制定されたことについての検証</w:t>
      </w:r>
    </w:p>
    <w:p>
      <w:pPr>
        <w:pStyle w:val="BodyText"/>
        <w:spacing w:line="302" w:lineRule="auto" w:before="74"/>
        <w:ind w:left="651" w:right="982" w:hanging="221"/>
      </w:pPr>
      <w:r>
        <w:rPr>
          <w:spacing w:val="-5"/>
        </w:rPr>
        <w:t>・昭和 </w:t>
      </w:r>
      <w:r>
        <w:rPr>
          <w:spacing w:val="-2"/>
        </w:rPr>
        <w:t>23</w:t>
      </w:r>
      <w:r>
        <w:rPr>
          <w:spacing w:val="-5"/>
        </w:rPr>
        <w:t> 年に制定された同法が平成８年まで改廃されなかったことについての検</w:t>
      </w:r>
      <w:r>
        <w:rPr>
          <w:spacing w:val="-10"/>
        </w:rPr>
        <w:t>証</w:t>
      </w:r>
    </w:p>
    <w:p>
      <w:pPr>
        <w:pStyle w:val="BodyText"/>
        <w:spacing w:line="285" w:lineRule="exact"/>
        <w:ind w:left="431"/>
      </w:pPr>
      <w:r>
        <w:rPr>
          <w:spacing w:val="-3"/>
        </w:rPr>
        <w:t>・その他必要な事項</w:t>
      </w:r>
    </w:p>
    <w:p>
      <w:pPr>
        <w:pStyle w:val="BodyText"/>
        <w:spacing w:before="74"/>
        <w:ind w:left="211"/>
      </w:pPr>
      <w:r>
        <w:rPr/>
        <w:t>③</w:t>
      </w:r>
      <w:r>
        <w:rPr>
          <w:spacing w:val="29"/>
          <w:w w:val="150"/>
        </w:rPr>
        <w:t> </w:t>
      </w:r>
      <w:r>
        <w:rPr>
          <w:spacing w:val="-1"/>
        </w:rPr>
        <w:t>再発防止のために講ずべき措置についての検討</w:t>
      </w:r>
    </w:p>
    <w:p>
      <w:pPr>
        <w:pStyle w:val="BodyText"/>
        <w:spacing w:before="74"/>
        <w:ind w:left="431"/>
      </w:pPr>
      <w:r>
        <w:rPr>
          <w:spacing w:val="-7"/>
        </w:rPr>
        <w:t>・平成８年の優生保護法の母体保護法への改正以降の対応等に関する評価等</w:t>
      </w:r>
    </w:p>
    <w:p>
      <w:pPr>
        <w:pStyle w:val="BodyText"/>
        <w:spacing w:line="302" w:lineRule="auto" w:before="74"/>
        <w:ind w:left="651" w:right="982" w:hanging="230"/>
      </w:pPr>
      <w:r>
        <w:rPr>
          <w:spacing w:val="-2"/>
        </w:rPr>
        <w:t>・調査及び検証等（母体保護法への改正以降に関するものを含む。）を踏まえた再発防止のための提言</w:t>
      </w:r>
    </w:p>
    <w:p>
      <w:pPr>
        <w:pStyle w:val="BodyText"/>
        <w:spacing w:line="285" w:lineRule="exact"/>
        <w:ind w:left="431"/>
      </w:pPr>
      <w:r>
        <w:rPr>
          <w:spacing w:val="-3"/>
        </w:rPr>
        <w:t>・その他必要な事項</w:t>
      </w:r>
    </w:p>
    <w:sectPr>
      <w:pgSz w:w="11900" w:h="16820"/>
      <w:pgMar w:top="580" w:bottom="280" w:left="1700"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Ｐゴシック">
    <w:altName w:val="ＭＳ Ｐゴシック"/>
    <w:charset w:val="80"/>
    <w:family w:val="modern"/>
    <w:pitch w:val="variable"/>
  </w:font>
  <w:font w:name="ＭＳ 明朝">
    <w:altName w:val="ＭＳ 明朝"/>
    <w:charset w:val="80"/>
    <w:family w:val="roma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21" w:hanging="480"/>
        <w:jc w:val="left"/>
      </w:pPr>
      <w:rPr>
        <w:rFonts w:hint="default" w:ascii="ＭＳ 明朝" w:hAnsi="ＭＳ 明朝" w:eastAsia="ＭＳ 明朝" w:cs="ＭＳ 明朝"/>
        <w:b w:val="0"/>
        <w:bCs w:val="0"/>
        <w:i w:val="0"/>
        <w:iCs w:val="0"/>
        <w:spacing w:val="0"/>
        <w:w w:val="100"/>
        <w:sz w:val="24"/>
        <w:szCs w:val="24"/>
        <w:lang w:val="en-US" w:eastAsia="ja-JP" w:bidi="ar-SA"/>
      </w:rPr>
    </w:lvl>
    <w:lvl w:ilvl="1">
      <w:start w:val="0"/>
      <w:numFmt w:val="bullet"/>
      <w:lvlText w:val="•"/>
      <w:lvlJc w:val="left"/>
      <w:pPr>
        <w:ind w:left="1597" w:hanging="480"/>
      </w:pPr>
      <w:rPr>
        <w:rFonts w:hint="default"/>
        <w:lang w:val="en-US" w:eastAsia="ja-JP" w:bidi="ar-SA"/>
      </w:rPr>
    </w:lvl>
    <w:lvl w:ilvl="2">
      <w:start w:val="0"/>
      <w:numFmt w:val="bullet"/>
      <w:lvlText w:val="•"/>
      <w:lvlJc w:val="left"/>
      <w:pPr>
        <w:ind w:left="2474" w:hanging="480"/>
      </w:pPr>
      <w:rPr>
        <w:rFonts w:hint="default"/>
        <w:lang w:val="en-US" w:eastAsia="ja-JP" w:bidi="ar-SA"/>
      </w:rPr>
    </w:lvl>
    <w:lvl w:ilvl="3">
      <w:start w:val="0"/>
      <w:numFmt w:val="bullet"/>
      <w:lvlText w:val="•"/>
      <w:lvlJc w:val="left"/>
      <w:pPr>
        <w:ind w:left="3351" w:hanging="480"/>
      </w:pPr>
      <w:rPr>
        <w:rFonts w:hint="default"/>
        <w:lang w:val="en-US" w:eastAsia="ja-JP" w:bidi="ar-SA"/>
      </w:rPr>
    </w:lvl>
    <w:lvl w:ilvl="4">
      <w:start w:val="0"/>
      <w:numFmt w:val="bullet"/>
      <w:lvlText w:val="•"/>
      <w:lvlJc w:val="left"/>
      <w:pPr>
        <w:ind w:left="4228" w:hanging="480"/>
      </w:pPr>
      <w:rPr>
        <w:rFonts w:hint="default"/>
        <w:lang w:val="en-US" w:eastAsia="ja-JP" w:bidi="ar-SA"/>
      </w:rPr>
    </w:lvl>
    <w:lvl w:ilvl="5">
      <w:start w:val="0"/>
      <w:numFmt w:val="bullet"/>
      <w:lvlText w:val="•"/>
      <w:lvlJc w:val="left"/>
      <w:pPr>
        <w:ind w:left="5106" w:hanging="480"/>
      </w:pPr>
      <w:rPr>
        <w:rFonts w:hint="default"/>
        <w:lang w:val="en-US" w:eastAsia="ja-JP" w:bidi="ar-SA"/>
      </w:rPr>
    </w:lvl>
    <w:lvl w:ilvl="6">
      <w:start w:val="0"/>
      <w:numFmt w:val="bullet"/>
      <w:lvlText w:val="•"/>
      <w:lvlJc w:val="left"/>
      <w:pPr>
        <w:ind w:left="5983" w:hanging="480"/>
      </w:pPr>
      <w:rPr>
        <w:rFonts w:hint="default"/>
        <w:lang w:val="en-US" w:eastAsia="ja-JP" w:bidi="ar-SA"/>
      </w:rPr>
    </w:lvl>
    <w:lvl w:ilvl="7">
      <w:start w:val="0"/>
      <w:numFmt w:val="bullet"/>
      <w:lvlText w:val="•"/>
      <w:lvlJc w:val="left"/>
      <w:pPr>
        <w:ind w:left="6860" w:hanging="480"/>
      </w:pPr>
      <w:rPr>
        <w:rFonts w:hint="default"/>
        <w:lang w:val="en-US" w:eastAsia="ja-JP" w:bidi="ar-SA"/>
      </w:rPr>
    </w:lvl>
    <w:lvl w:ilvl="8">
      <w:start w:val="0"/>
      <w:numFmt w:val="bullet"/>
      <w:lvlText w:val="•"/>
      <w:lvlJc w:val="left"/>
      <w:pPr>
        <w:ind w:left="7737" w:hanging="480"/>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2"/>
      <w:szCs w:val="22"/>
      <w:lang w:val="en-US" w:eastAsia="ja-JP" w:bidi="ar-SA"/>
    </w:rPr>
  </w:style>
  <w:style w:styleId="Title" w:type="paragraph">
    <w:name w:val="Title"/>
    <w:basedOn w:val="Normal"/>
    <w:uiPriority w:val="1"/>
    <w:qFormat/>
    <w:pPr>
      <w:spacing w:before="217"/>
      <w:ind w:left="2574" w:right="3556"/>
    </w:pPr>
    <w:rPr>
      <w:rFonts w:ascii="ＭＳ 明朝" w:hAnsi="ＭＳ 明朝" w:eastAsia="ＭＳ 明朝" w:cs="ＭＳ 明朝"/>
      <w:sz w:val="28"/>
      <w:szCs w:val="28"/>
      <w:lang w:val="en-US" w:eastAsia="ja-JP" w:bidi="ar-SA"/>
    </w:rPr>
  </w:style>
  <w:style w:styleId="ListParagraph" w:type="paragraph">
    <w:name w:val="List Paragraph"/>
    <w:basedOn w:val="Normal"/>
    <w:uiPriority w:val="1"/>
    <w:qFormat/>
    <w:pPr>
      <w:ind w:left="721" w:hanging="480"/>
    </w:pPr>
    <w:rPr>
      <w:rFonts w:ascii="ＭＳ 明朝" w:hAnsi="ＭＳ 明朝" w:eastAsia="ＭＳ 明朝" w:cs="ＭＳ 明朝"/>
      <w:lang w:val="en-US" w:eastAsia="ja-JP" w:bidi="ar-SA"/>
    </w:rPr>
  </w:style>
  <w:style w:styleId="TableParagraph" w:type="paragraph">
    <w:name w:val="Table Paragraph"/>
    <w:basedOn w:val="Normal"/>
    <w:uiPriority w:val="1"/>
    <w:qFormat/>
    <w:pPr/>
    <w:rPr>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2025-10-24T01:48:43Z</dcterms:created>
  <dcterms:modified xsi:type="dcterms:W3CDTF">2025-10-24T01:48:43Z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Adobe Acrobat (32-bit) 25.1.20756</vt:lpwstr>
  </property>
  <property fmtid="{D5CDD505-2E9C-101B-9397-08002B2CF9AE}" pid="4" name="LastSaved">
    <vt:filetime>2025-10-24T00:00:00Z</vt:filetime>
  </property>
  <property fmtid="{D5CDD505-2E9C-101B-9397-08002B2CF9AE}" pid="5" name="Producer">
    <vt:lpwstr>YSS PDF Converter XP 64Bit Ver 7.0.5.0</vt:lpwstr>
  </property>
</Properties>
</file>